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 všem</w:t>
      </w:r>
      <w:r w:rsidR="00DB200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</w:p>
    <w:p w:rsidR="005102FD" w:rsidRPr="008F2A83" w:rsidRDefault="005102FD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od AN/UK architektů jsem obdržel následující dotazy k projektu KODUS Česká </w:t>
      </w:r>
      <w:r w:rsidR="005102F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</w:t>
      </w: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amenice.</w:t>
      </w: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Přikládám odpovědi</w:t>
      </w:r>
      <w:r w:rsidR="00DB200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které jsme vypracovali s vedením města.</w:t>
      </w:r>
    </w:p>
    <w:p w:rsidR="008F2A83" w:rsidRPr="008F2A83" w:rsidRDefault="00DB200B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Z</w:t>
      </w:r>
      <w:r w:rsidR="008F2A83"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ároveň oznamuji</w:t>
      </w: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  <w:r w:rsidR="008F2A83"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že účast v porotě jako nezávislý architekt potvrdila architektka Lucie </w:t>
      </w:r>
      <w:proofErr w:type="spellStart"/>
      <w:r w:rsidR="008F2A83" w:rsidRPr="008F2A83">
        <w:rPr>
          <w:rFonts w:ascii="Verdana" w:eastAsia="Times New Roman" w:hAnsi="Verdana" w:cs="Segoe UI"/>
          <w:color w:val="666666"/>
          <w:sz w:val="20"/>
          <w:szCs w:val="20"/>
          <w:lang w:eastAsia="cs-CZ"/>
        </w:rPr>
        <w:t>Kadrmanová</w:t>
      </w:r>
      <w:proofErr w:type="spellEnd"/>
      <w:r w:rsidR="008F2A83" w:rsidRPr="008F2A83">
        <w:rPr>
          <w:rFonts w:ascii="Verdana" w:eastAsia="Times New Roman" w:hAnsi="Verdana" w:cs="Segoe UI"/>
          <w:color w:val="666666"/>
          <w:sz w:val="20"/>
          <w:szCs w:val="20"/>
          <w:lang w:eastAsia="cs-CZ"/>
        </w:rPr>
        <w:t xml:space="preserve"> Chytilová (působící v atelieru City Upgrade)</w:t>
      </w:r>
      <w:r>
        <w:rPr>
          <w:rFonts w:ascii="Verdana" w:eastAsia="Times New Roman" w:hAnsi="Verdana" w:cs="Segoe UI"/>
          <w:color w:val="666666"/>
          <w:sz w:val="20"/>
          <w:szCs w:val="20"/>
          <w:lang w:eastAsia="cs-CZ"/>
        </w:rPr>
        <w:t>.</w:t>
      </w: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1</w:t>
      </w:r>
      <w:r w:rsidR="00DB200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</w:t>
      </w: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r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t>Jaký má být poměr počtu bytů pro jednu a pro dvě osoby?</w:t>
      </w:r>
      <w:r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br/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Odpověď:</w:t>
      </w: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Z diskuse o provozu vyplynulo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že byty mají být pro jednotlivce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. D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o KODUSU přichází lidé v naprosté většině sólo (pokud žijí v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 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páru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většinou jsou ještě v bytech). Tedy pokud zde navrhnete prostor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,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který lze obývat párem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nebudete diskvalifikováni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,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ale reálná poptávka po tom příliš není.</w:t>
      </w: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2</w:t>
      </w:r>
      <w:r w:rsidR="00DB200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</w:t>
      </w: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r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t>Imobilním klientem je nebo není myšlen vozíčkář? To se týká především</w:t>
      </w:r>
      <w:r w:rsidR="005102FD"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t xml:space="preserve"> </w:t>
      </w:r>
      <w:r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t>koupelen. Mají všechny být koncipovány jako bezbariérové?</w:t>
      </w:r>
      <w:r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br/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Odpověď: </w:t>
      </w:r>
    </w:p>
    <w:p w:rsidR="008F2A83" w:rsidRPr="006F33FC" w:rsidRDefault="008F2A83" w:rsidP="005102FD">
      <w:pPr>
        <w:spacing w:after="0" w:line="240" w:lineRule="auto"/>
        <w:ind w:right="-284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</w:pP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Všechny byty mají mít charakter upravitelného bytu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,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což je složitě definovaný termín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ale pro navržení dispozic to de-facto znamená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,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aby byl</w:t>
      </w:r>
      <w:r w:rsidR="00DB200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y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koupelny upravitelné (úpravami vybavení 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–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madla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,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záchody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,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atd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.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) na bezbari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é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rové. Takže pro potřeby dispozic navrhujte koupelny jako bezbari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é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rové a je pak jen otázka následujících fází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,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kolik bytů bude vybaveno pro vozíčkáře a kde bude vybavení normální (z diskuse s provozovateli domova důchodců vyplynulo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že je ideální mít všechny sociálky zařízené bezbari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é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rově od začátku, protože klienti se v prostoru vyvíjí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respektive jejich stav se postupně může zhoršovat</w:t>
      </w:r>
      <w:r w:rsidR="005102F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co se pohyblivosti týče)</w:t>
      </w:r>
      <w:r w:rsidR="000A018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.</w:t>
      </w: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3</w:t>
      </w:r>
      <w:r w:rsidR="005102F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</w:t>
      </w: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r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t>MMR na KODUS definuje samostatné bytové jednotky do 45 m2 a společné </w:t>
      </w:r>
      <w:r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br/>
        <w:t>prostory</w:t>
      </w:r>
      <w:r w:rsidR="006F33FC"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t xml:space="preserve"> pro všechny obyvatele</w:t>
      </w:r>
      <w:r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t>. Doplněné zadání vybízí k nějakým částečně veřejným prostorům, sdíleným obyvateli několika</w:t>
      </w:r>
      <w:r w:rsidR="005102FD"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t xml:space="preserve"> </w:t>
      </w:r>
      <w:r w:rsidRPr="006F33F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cs-CZ"/>
        </w:rPr>
        <w:t>bytových jednotek. Dvoupokojový byt překročí  maximální plochu bytové jednotky. Prostor společný jen některým lidem nedodrží požadavek na společný prostor sdílený všemi obyvateli. Co s tím?  </w:t>
      </w: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Odpověď:</w:t>
      </w:r>
    </w:p>
    <w:p w:rsidR="008F2A83" w:rsidRPr="008F2A83" w:rsidRDefault="006F33FC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J</w:t>
      </w:r>
      <w:r w:rsidR="008F2A83"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sou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to </w:t>
      </w:r>
      <w:r w:rsidR="008F2A83"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dvě otázky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- </w:t>
      </w:r>
      <w:r w:rsidR="008F2A83"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tedy za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</w:t>
      </w:r>
      <w:r w:rsidR="008F2A83"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prvé 45m2 byty nestačí na dvoupokojové byt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y- </w:t>
      </w:r>
      <w:r w:rsidR="008F2A83"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odpověď je podobná jako na první otázku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- </w:t>
      </w:r>
      <w:r w:rsidR="008F2A83"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byty jsou zamýšleny převážně pro jednotlivce. Členění na místnosti a jejich velikosti je na vašem uvážení.</w:t>
      </w: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za druhé: Otázka částečně sdílených veřejných prostorů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-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zde prosím jednejte tak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jak vám to přijde správné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.  M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y jako měst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o -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budoucí provozovatel </w:t>
      </w:r>
      <w:r w:rsidR="008E2805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-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a městský architekt jsme připraveni si před poskytovatelem dotace obhájit postoj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že společné prostory jsou realizovány pro menší skupiny byt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ů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zvlášť. Opravdu jsme přesvědčeni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že formát jakýchsi privát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ů,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kde klienti sdílí menší</w:t>
      </w:r>
      <w:r w:rsidR="008E2805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,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ale intimnější společné prostory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, 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je správná cesta. Velikost těchto společn</w:t>
      </w:r>
      <w:r w:rsidR="006F33F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ý</w:t>
      </w:r>
      <w:r w:rsidRPr="008F2A8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ch prostor a počet jednotek na ně napojených je na vašem uvážení.</w:t>
      </w:r>
      <w:bookmarkStart w:id="0" w:name="_GoBack"/>
      <w:bookmarkEnd w:id="0"/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všem </w:t>
      </w: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Těšíme se na výsledky vaší práce</w:t>
      </w: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pozdravem</w:t>
      </w:r>
    </w:p>
    <w:p w:rsidR="008F2A83" w:rsidRPr="008F2A83" w:rsidRDefault="008F2A83" w:rsidP="008F2A8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8F2A8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Jan Mach</w:t>
      </w:r>
    </w:p>
    <w:p w:rsidR="000C2849" w:rsidRDefault="000C2849"/>
    <w:sectPr w:rsidR="000C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83"/>
    <w:rsid w:val="000A0181"/>
    <w:rsid w:val="000C2849"/>
    <w:rsid w:val="00135062"/>
    <w:rsid w:val="005102FD"/>
    <w:rsid w:val="006F33FC"/>
    <w:rsid w:val="008E2805"/>
    <w:rsid w:val="008F2A83"/>
    <w:rsid w:val="00D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55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1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Stejskalová</dc:creator>
  <cp:lastModifiedBy>Ing. Petra Stejskalová</cp:lastModifiedBy>
  <cp:revision>6</cp:revision>
  <dcterms:created xsi:type="dcterms:W3CDTF">2019-08-27T05:51:00Z</dcterms:created>
  <dcterms:modified xsi:type="dcterms:W3CDTF">2019-08-27T06:43:00Z</dcterms:modified>
</cp:coreProperties>
</file>